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3E0C249" w:rsidR="008A22CF" w:rsidRPr="0091380E" w:rsidRDefault="008A22CF" w:rsidP="008A22CF">
      <w:pPr>
        <w:pStyle w:val="3GPPHeader"/>
        <w:spacing w:after="60"/>
        <w:rPr>
          <w:lang w:val="en-US"/>
        </w:rPr>
      </w:pPr>
      <w:bookmarkStart w:id="0" w:name="_Hlk487029736"/>
      <w:bookmarkEnd w:id="0"/>
      <w:r w:rsidRPr="0091380E">
        <w:rPr>
          <w:lang w:val="en-US"/>
        </w:rPr>
        <w:t>3GPP TSG-RAN WG4</w:t>
      </w:r>
      <w:r w:rsidR="001D4850" w:rsidRPr="0091380E">
        <w:rPr>
          <w:lang w:val="en-US"/>
        </w:rPr>
        <w:t xml:space="preserve"> Meeting</w:t>
      </w:r>
      <w:r w:rsidR="005071CC" w:rsidRPr="0091380E">
        <w:rPr>
          <w:lang w:val="en-US"/>
        </w:rPr>
        <w:t xml:space="preserve"> </w:t>
      </w:r>
      <w:r w:rsidR="00837AD9" w:rsidRPr="0091380E">
        <w:rPr>
          <w:rFonts w:eastAsia="PMingLiU" w:cs="Arial"/>
          <w:color w:val="000000" w:themeColor="text1"/>
          <w:sz w:val="22"/>
          <w:lang w:val="en-US" w:eastAsia="ja-JP"/>
        </w:rPr>
        <w:t>#</w:t>
      </w:r>
      <w:bookmarkStart w:id="1" w:name="_Hlk110436944"/>
      <w:r w:rsidR="00837AD9" w:rsidRPr="0091380E">
        <w:rPr>
          <w:rFonts w:eastAsia="PMingLiU" w:cs="Arial"/>
          <w:color w:val="000000" w:themeColor="text1"/>
          <w:sz w:val="22"/>
          <w:lang w:val="en-US" w:eastAsia="ja-JP"/>
        </w:rPr>
        <w:t>10</w:t>
      </w:r>
      <w:bookmarkEnd w:id="1"/>
      <w:r w:rsidR="00AE5BBB" w:rsidRPr="0091380E">
        <w:rPr>
          <w:rFonts w:eastAsia="PMingLiU" w:cs="Arial"/>
          <w:color w:val="000000" w:themeColor="text1"/>
          <w:sz w:val="22"/>
          <w:lang w:val="en-US" w:eastAsia="ja-JP"/>
        </w:rPr>
        <w:t>6</w:t>
      </w:r>
      <w:r w:rsidR="00D776A6" w:rsidRPr="0091380E">
        <w:rPr>
          <w:rFonts w:eastAsia="PMingLiU" w:cs="Arial"/>
          <w:color w:val="000000" w:themeColor="text1"/>
          <w:sz w:val="22"/>
          <w:lang w:val="en-US" w:eastAsia="ja-JP"/>
        </w:rPr>
        <w:t>bis-e</w:t>
      </w:r>
      <w:r w:rsidRPr="0091380E">
        <w:rPr>
          <w:lang w:val="en-US"/>
        </w:rPr>
        <w:tab/>
      </w:r>
      <w:r w:rsidR="005863F3" w:rsidRPr="0091380E">
        <w:rPr>
          <w:lang w:val="en-US"/>
        </w:rPr>
        <w:t>R4-</w:t>
      </w:r>
      <w:r w:rsidR="00383317" w:rsidRPr="0091380E">
        <w:rPr>
          <w:lang w:val="en-US"/>
        </w:rPr>
        <w:t>2</w:t>
      </w:r>
      <w:r w:rsidR="00AE5BBB" w:rsidRPr="0091380E">
        <w:rPr>
          <w:lang w:val="en-US"/>
        </w:rPr>
        <w:t>30</w:t>
      </w:r>
      <w:r w:rsidR="0091380E">
        <w:rPr>
          <w:lang w:val="en-US"/>
        </w:rPr>
        <w:t>5705</w:t>
      </w:r>
    </w:p>
    <w:p w14:paraId="65F55581" w14:textId="288F6F61" w:rsidR="008A22CF" w:rsidRPr="0091380E" w:rsidRDefault="00D776A6" w:rsidP="008A22CF">
      <w:pPr>
        <w:pStyle w:val="3GPPHeader"/>
        <w:rPr>
          <w:lang w:val="en-US"/>
        </w:rPr>
      </w:pPr>
      <w:r w:rsidRPr="0091380E">
        <w:rPr>
          <w:lang w:val="en-US"/>
        </w:rPr>
        <w:t>Online</w:t>
      </w:r>
      <w:r w:rsidR="00383317" w:rsidRPr="0091380E">
        <w:rPr>
          <w:lang w:val="en-US"/>
        </w:rPr>
        <w:t xml:space="preserve">, </w:t>
      </w:r>
      <w:r w:rsidRPr="0091380E">
        <w:rPr>
          <w:lang w:val="en-US"/>
        </w:rPr>
        <w:t>April</w:t>
      </w:r>
      <w:r w:rsidR="00837AD9" w:rsidRPr="0091380E">
        <w:rPr>
          <w:lang w:val="en-US"/>
        </w:rPr>
        <w:t xml:space="preserve"> </w:t>
      </w:r>
      <w:r w:rsidRPr="0091380E">
        <w:rPr>
          <w:lang w:val="en-US"/>
        </w:rPr>
        <w:t>17</w:t>
      </w:r>
      <w:r w:rsidR="00AE5BBB" w:rsidRPr="0091380E">
        <w:rPr>
          <w:vertAlign w:val="superscript"/>
          <w:lang w:val="en-US"/>
        </w:rPr>
        <w:t>th</w:t>
      </w:r>
      <w:r w:rsidR="00AE5BBB" w:rsidRPr="0091380E">
        <w:rPr>
          <w:lang w:val="en-US"/>
        </w:rPr>
        <w:t xml:space="preserve"> </w:t>
      </w:r>
      <w:r w:rsidR="00DE3259" w:rsidRPr="0091380E">
        <w:rPr>
          <w:lang w:val="en-US"/>
        </w:rPr>
        <w:t>–</w:t>
      </w:r>
      <w:r w:rsidRPr="0091380E">
        <w:rPr>
          <w:lang w:val="en-US"/>
        </w:rPr>
        <w:t xml:space="preserve"> 26</w:t>
      </w:r>
      <w:r w:rsidRPr="0091380E">
        <w:rPr>
          <w:vertAlign w:val="superscript"/>
          <w:lang w:val="en-US"/>
        </w:rPr>
        <w:t>th</w:t>
      </w:r>
      <w:r w:rsidR="00837AD9" w:rsidRPr="0091380E">
        <w:rPr>
          <w:lang w:val="en-US"/>
        </w:rPr>
        <w:t>, 202</w:t>
      </w:r>
      <w:r w:rsidR="00AE5BBB" w:rsidRPr="0091380E">
        <w:rPr>
          <w:lang w:val="en-US"/>
        </w:rPr>
        <w:t>3</w:t>
      </w:r>
    </w:p>
    <w:p w14:paraId="2D8C5D3B" w14:textId="77777777" w:rsidR="00837AD9" w:rsidRPr="0091380E" w:rsidRDefault="00837AD9" w:rsidP="008A22CF">
      <w:pPr>
        <w:pStyle w:val="3GPPHeader"/>
        <w:rPr>
          <w:lang w:val="en-US"/>
        </w:rPr>
      </w:pPr>
    </w:p>
    <w:p w14:paraId="0FDE225D" w14:textId="36830141" w:rsidR="008A22CF" w:rsidRPr="0091380E" w:rsidRDefault="008A22CF" w:rsidP="008A22CF">
      <w:pPr>
        <w:pStyle w:val="3GPPHeader"/>
        <w:rPr>
          <w:sz w:val="22"/>
          <w:lang w:val="en-US"/>
        </w:rPr>
      </w:pPr>
      <w:r w:rsidRPr="0091380E">
        <w:rPr>
          <w:sz w:val="22"/>
          <w:lang w:val="en-US"/>
        </w:rPr>
        <w:t>Agenda Item:</w:t>
      </w:r>
      <w:r w:rsidRPr="0091380E">
        <w:rPr>
          <w:sz w:val="22"/>
          <w:lang w:val="en-US"/>
        </w:rPr>
        <w:tab/>
      </w:r>
      <w:r w:rsidR="002D43FC" w:rsidRPr="0091380E">
        <w:rPr>
          <w:sz w:val="22"/>
          <w:lang w:val="en-US"/>
        </w:rPr>
        <w:t>5</w:t>
      </w:r>
      <w:r w:rsidR="00927488" w:rsidRPr="0091380E">
        <w:rPr>
          <w:sz w:val="22"/>
          <w:lang w:val="en-US"/>
        </w:rPr>
        <w:t>.</w:t>
      </w:r>
      <w:r w:rsidR="002D43FC" w:rsidRPr="0091380E">
        <w:rPr>
          <w:sz w:val="22"/>
          <w:lang w:val="en-US"/>
        </w:rPr>
        <w:t>7.3.2</w:t>
      </w:r>
    </w:p>
    <w:p w14:paraId="57D8FDDC" w14:textId="4993D1F6" w:rsidR="008A22CF" w:rsidRPr="0091380E" w:rsidRDefault="008A22CF" w:rsidP="008A22CF">
      <w:pPr>
        <w:pStyle w:val="3GPPHeader"/>
        <w:rPr>
          <w:sz w:val="22"/>
          <w:lang w:val="en-US"/>
        </w:rPr>
      </w:pPr>
      <w:r w:rsidRPr="0091380E">
        <w:rPr>
          <w:sz w:val="22"/>
          <w:lang w:val="en-US"/>
        </w:rPr>
        <w:t>Source:</w:t>
      </w:r>
      <w:r w:rsidRPr="0091380E">
        <w:rPr>
          <w:sz w:val="22"/>
          <w:lang w:val="en-US"/>
        </w:rPr>
        <w:tab/>
      </w:r>
      <w:r w:rsidR="00837AD9" w:rsidRPr="0091380E">
        <w:rPr>
          <w:sz w:val="22"/>
          <w:lang w:val="en-US"/>
        </w:rPr>
        <w:t>MediaTek Inc.</w:t>
      </w:r>
    </w:p>
    <w:p w14:paraId="3A8FC3FA" w14:textId="7D3B5897" w:rsidR="008A22CF" w:rsidRPr="0091380E" w:rsidRDefault="008A22CF" w:rsidP="0060526C">
      <w:pPr>
        <w:pStyle w:val="3GPPHeader"/>
        <w:ind w:left="1701" w:hanging="1701"/>
        <w:rPr>
          <w:sz w:val="22"/>
          <w:lang w:val="en-US"/>
        </w:rPr>
      </w:pPr>
      <w:r w:rsidRPr="0091380E">
        <w:rPr>
          <w:sz w:val="22"/>
          <w:lang w:val="en-US"/>
        </w:rPr>
        <w:t>Title:</w:t>
      </w:r>
      <w:r w:rsidR="0060526C" w:rsidRPr="0091380E">
        <w:rPr>
          <w:sz w:val="22"/>
          <w:lang w:val="en-US"/>
        </w:rPr>
        <w:t xml:space="preserve"> </w:t>
      </w:r>
      <w:r w:rsidR="0060526C" w:rsidRPr="0091380E">
        <w:rPr>
          <w:sz w:val="22"/>
          <w:lang w:val="en-US"/>
        </w:rPr>
        <w:tab/>
      </w:r>
      <w:r w:rsidR="002D43FC" w:rsidRPr="0091380E">
        <w:rPr>
          <w:sz w:val="22"/>
          <w:lang w:val="en-US"/>
        </w:rPr>
        <w:t>UE beam type and DRX implications</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62A0E0A8" w:rsidR="00E92373" w:rsidRPr="0091380E" w:rsidRDefault="002D43FC" w:rsidP="006D75DD">
      <w:pPr>
        <w:jc w:val="both"/>
        <w:rPr>
          <w:lang w:val="en-US"/>
        </w:rPr>
      </w:pPr>
      <w:bookmarkStart w:id="2" w:name="OLE_LINK13"/>
      <w:r w:rsidRPr="0091380E">
        <w:rPr>
          <w:lang w:val="en-US"/>
        </w:rPr>
        <w:t>For FR2 beam correspondence requirements for initial access and RRC_INACTIVE mode, a WF was agreed in RAN4#106 [1], and</w:t>
      </w:r>
      <w:r w:rsidR="00B67599" w:rsidRPr="0091380E">
        <w:rPr>
          <w:lang w:val="en-US"/>
        </w:rPr>
        <w:t xml:space="preserve"> for UE beam type, the conclusion is:</w:t>
      </w:r>
    </w:p>
    <w:tbl>
      <w:tblPr>
        <w:tblStyle w:val="TableGrid"/>
        <w:tblW w:w="0" w:type="auto"/>
        <w:tblLook w:val="04A0" w:firstRow="1" w:lastRow="0" w:firstColumn="1" w:lastColumn="0" w:noHBand="0" w:noVBand="1"/>
      </w:tblPr>
      <w:tblGrid>
        <w:gridCol w:w="9629"/>
      </w:tblGrid>
      <w:tr w:rsidR="00B67599" w:rsidRPr="00BC1DFF" w14:paraId="6BBA6D5D" w14:textId="77777777" w:rsidTr="00B67599">
        <w:tc>
          <w:tcPr>
            <w:tcW w:w="9629" w:type="dxa"/>
          </w:tcPr>
          <w:p w14:paraId="6A46C833" w14:textId="77777777" w:rsidR="00BC1DFF" w:rsidRPr="00BC1DFF" w:rsidRDefault="00BC1DFF" w:rsidP="00BC1DFF">
            <w:pPr>
              <w:pStyle w:val="Heading2"/>
              <w:outlineLvl w:val="1"/>
              <w:rPr>
                <w:i/>
                <w:iCs/>
                <w:lang w:val="en-US"/>
              </w:rPr>
            </w:pPr>
            <w:r w:rsidRPr="00BC1DFF">
              <w:rPr>
                <w:i/>
                <w:iCs/>
                <w:lang w:val="en-US"/>
              </w:rPr>
              <w:t>Sub-topic 2-1 Rough beam vs Fine beam</w:t>
            </w:r>
          </w:p>
          <w:p w14:paraId="387B4AA2" w14:textId="77777777" w:rsidR="00BC1DFF" w:rsidRPr="00BC1DFF" w:rsidRDefault="00BC1DFF" w:rsidP="00BC1DFF">
            <w:pPr>
              <w:pStyle w:val="ListParagraph"/>
              <w:numPr>
                <w:ilvl w:val="0"/>
                <w:numId w:val="7"/>
              </w:numPr>
              <w:spacing w:after="120" w:line="240" w:lineRule="auto"/>
              <w:ind w:left="720"/>
              <w:rPr>
                <w:rFonts w:eastAsia="SimSun"/>
                <w:i/>
                <w:iCs/>
                <w:szCs w:val="24"/>
              </w:rPr>
            </w:pPr>
            <w:r w:rsidRPr="00BC1DFF">
              <w:rPr>
                <w:rFonts w:eastAsia="SimSun"/>
                <w:i/>
                <w:iCs/>
                <w:szCs w:val="24"/>
              </w:rPr>
              <w:t>Proposals</w:t>
            </w:r>
          </w:p>
          <w:p w14:paraId="6CEAF739" w14:textId="77777777" w:rsidR="00BC1DFF" w:rsidRPr="0091380E" w:rsidRDefault="00BC1DFF" w:rsidP="00BC1DFF">
            <w:pPr>
              <w:pStyle w:val="ListParagraph"/>
              <w:numPr>
                <w:ilvl w:val="1"/>
                <w:numId w:val="7"/>
              </w:numPr>
              <w:spacing w:after="120" w:line="240" w:lineRule="auto"/>
              <w:ind w:left="1440"/>
              <w:rPr>
                <w:rFonts w:eastAsia="SimSun"/>
                <w:i/>
                <w:iCs/>
                <w:lang w:val="en-US"/>
              </w:rPr>
            </w:pPr>
            <w:r w:rsidRPr="0091380E">
              <w:rPr>
                <w:i/>
                <w:iCs/>
                <w:lang w:val="en-US"/>
              </w:rPr>
              <w:t xml:space="preserve">Option 1: Study what reference signals can be used to enable beam refinement for msg3 for UEs in IDLE and INACTIVE modes. </w:t>
            </w:r>
          </w:p>
          <w:p w14:paraId="0D1B45C3" w14:textId="77777777" w:rsidR="00BC1DFF" w:rsidRPr="0091380E" w:rsidRDefault="00BC1DFF" w:rsidP="00BC1DFF">
            <w:pPr>
              <w:pStyle w:val="ListParagraph"/>
              <w:numPr>
                <w:ilvl w:val="1"/>
                <w:numId w:val="7"/>
              </w:numPr>
              <w:spacing w:after="120" w:line="240" w:lineRule="auto"/>
              <w:ind w:left="1440"/>
              <w:rPr>
                <w:rFonts w:eastAsia="SimSun"/>
                <w:i/>
                <w:iCs/>
                <w:lang w:val="en-US"/>
              </w:rPr>
            </w:pPr>
            <w:r w:rsidRPr="0091380E">
              <w:rPr>
                <w:i/>
                <w:iCs/>
                <w:lang w:val="en-US"/>
              </w:rPr>
              <w:t>Option 2: Both rough beam and fine beam UE implementation in the initial access are considered in the beam correspondence requirement definition process.</w:t>
            </w:r>
          </w:p>
          <w:p w14:paraId="6A500DA6" w14:textId="77777777" w:rsidR="00BC1DFF" w:rsidRPr="00BC1DFF" w:rsidRDefault="00BC1DFF" w:rsidP="00BC1DFF">
            <w:pPr>
              <w:pStyle w:val="ListParagraph"/>
              <w:numPr>
                <w:ilvl w:val="1"/>
                <w:numId w:val="7"/>
              </w:numPr>
              <w:spacing w:after="120" w:line="240" w:lineRule="auto"/>
              <w:ind w:left="1440"/>
              <w:rPr>
                <w:rFonts w:eastAsia="SimSun"/>
                <w:i/>
                <w:iCs/>
              </w:rPr>
            </w:pPr>
            <w:r w:rsidRPr="0091380E">
              <w:rPr>
                <w:i/>
                <w:iCs/>
                <w:lang w:val="en-US"/>
              </w:rPr>
              <w:t xml:space="preserve">Option 3: Whether UE will change the beam from rough beam to fine beam when tested under MOP is up to UE implementation. </w:t>
            </w:r>
            <w:r w:rsidRPr="00BC1DFF">
              <w:rPr>
                <w:i/>
                <w:iCs/>
              </w:rPr>
              <w:t>Beam correspondence requirement should accommodate both.</w:t>
            </w:r>
          </w:p>
          <w:p w14:paraId="1C2881E8" w14:textId="77777777" w:rsidR="00BC1DFF" w:rsidRPr="0091380E" w:rsidRDefault="00BC1DFF" w:rsidP="00BC1DFF">
            <w:pPr>
              <w:pStyle w:val="ListParagraph"/>
              <w:numPr>
                <w:ilvl w:val="1"/>
                <w:numId w:val="7"/>
              </w:numPr>
              <w:spacing w:after="120" w:line="240" w:lineRule="auto"/>
              <w:ind w:left="1440"/>
              <w:rPr>
                <w:rFonts w:eastAsia="SimSun"/>
                <w:i/>
                <w:iCs/>
                <w:lang w:val="en-US"/>
              </w:rPr>
            </w:pPr>
            <w:r w:rsidRPr="0091380E">
              <w:rPr>
                <w:i/>
                <w:iCs/>
                <w:lang w:val="en-US"/>
              </w:rPr>
              <w:t>Option 4: Both rough beam and fine beam should be considered for the msg1 requirement design.</w:t>
            </w:r>
          </w:p>
          <w:p w14:paraId="590C6AA3" w14:textId="77777777" w:rsidR="00BC1DFF" w:rsidRPr="0091380E" w:rsidRDefault="00BC1DFF" w:rsidP="00BC1DFF">
            <w:pPr>
              <w:pStyle w:val="ListParagraph"/>
              <w:numPr>
                <w:ilvl w:val="1"/>
                <w:numId w:val="7"/>
              </w:numPr>
              <w:spacing w:after="120" w:line="240" w:lineRule="auto"/>
              <w:ind w:left="1440"/>
              <w:rPr>
                <w:rFonts w:eastAsia="SimSun"/>
                <w:i/>
                <w:iCs/>
                <w:lang w:val="en-US"/>
              </w:rPr>
            </w:pPr>
            <w:r w:rsidRPr="0091380E">
              <w:rPr>
                <w:i/>
                <w:iCs/>
                <w:lang w:val="en-US"/>
              </w:rPr>
              <w:t>Option 5: No need to consider the DRX in the msg1 requirement.</w:t>
            </w:r>
          </w:p>
          <w:p w14:paraId="4C63C263" w14:textId="77777777" w:rsidR="00BC1DFF" w:rsidRPr="0091380E" w:rsidRDefault="00BC1DFF" w:rsidP="00BC1DFF">
            <w:pPr>
              <w:pStyle w:val="ListParagraph"/>
              <w:numPr>
                <w:ilvl w:val="1"/>
                <w:numId w:val="7"/>
              </w:numPr>
              <w:spacing w:after="120" w:line="240" w:lineRule="auto"/>
              <w:ind w:left="1440"/>
              <w:rPr>
                <w:rFonts w:eastAsia="SimSun"/>
                <w:i/>
                <w:iCs/>
                <w:lang w:val="en-US"/>
              </w:rPr>
            </w:pPr>
            <w:r w:rsidRPr="0091380E">
              <w:rPr>
                <w:i/>
                <w:iCs/>
                <w:lang w:val="en-US"/>
              </w:rPr>
              <w:t>Option 6: RAN4 to take Option 3a for beam refinement in RRC_INACTIVE and initial access, and if it cannot be agreed, then leave it as UE implementation issue, i.e., Option 4.</w:t>
            </w:r>
          </w:p>
          <w:p w14:paraId="2A251B45" w14:textId="77777777" w:rsidR="00BC1DFF" w:rsidRPr="00BC1DFF" w:rsidRDefault="00BC1DFF" w:rsidP="00BC1DFF">
            <w:pPr>
              <w:pStyle w:val="ListParagraph"/>
              <w:numPr>
                <w:ilvl w:val="0"/>
                <w:numId w:val="7"/>
              </w:numPr>
              <w:spacing w:after="120" w:line="240" w:lineRule="auto"/>
              <w:ind w:left="720"/>
              <w:rPr>
                <w:rFonts w:eastAsia="SimSun"/>
                <w:i/>
                <w:iCs/>
                <w:szCs w:val="24"/>
              </w:rPr>
            </w:pPr>
            <w:r w:rsidRPr="00BC1DFF">
              <w:rPr>
                <w:rFonts w:eastAsia="SimSun"/>
                <w:i/>
                <w:iCs/>
                <w:szCs w:val="24"/>
              </w:rPr>
              <w:t>WF</w:t>
            </w:r>
          </w:p>
          <w:p w14:paraId="6C93EE98" w14:textId="77777777" w:rsidR="00BC1DFF" w:rsidRPr="0091380E" w:rsidRDefault="00BC1DFF" w:rsidP="00BC1DFF">
            <w:pPr>
              <w:pStyle w:val="ListParagraph"/>
              <w:numPr>
                <w:ilvl w:val="1"/>
                <w:numId w:val="7"/>
              </w:numPr>
              <w:spacing w:after="120" w:line="240" w:lineRule="auto"/>
              <w:rPr>
                <w:rFonts w:eastAsia="SimSun"/>
                <w:i/>
                <w:iCs/>
                <w:szCs w:val="24"/>
                <w:lang w:val="en-US"/>
              </w:rPr>
            </w:pPr>
            <w:r w:rsidRPr="0091380E">
              <w:rPr>
                <w:i/>
                <w:iCs/>
                <w:lang w:val="en-US"/>
              </w:rPr>
              <w:t>No need to consider the DRX in the msg1 requirement.</w:t>
            </w:r>
          </w:p>
          <w:p w14:paraId="023536D5" w14:textId="77777777" w:rsidR="00BC1DFF" w:rsidRPr="00BC1DFF" w:rsidRDefault="00BC1DFF" w:rsidP="00BC1DFF">
            <w:pPr>
              <w:pStyle w:val="ListParagraph"/>
              <w:numPr>
                <w:ilvl w:val="1"/>
                <w:numId w:val="7"/>
              </w:numPr>
              <w:spacing w:after="120" w:line="240" w:lineRule="auto"/>
              <w:rPr>
                <w:rFonts w:eastAsia="SimSun"/>
                <w:i/>
                <w:iCs/>
                <w:szCs w:val="24"/>
              </w:rPr>
            </w:pPr>
            <w:r w:rsidRPr="00BC1DFF">
              <w:rPr>
                <w:i/>
                <w:iCs/>
                <w:szCs w:val="24"/>
              </w:rPr>
              <w:t>Focus on msg1 requirement first</w:t>
            </w:r>
          </w:p>
          <w:p w14:paraId="4D7DBCA2" w14:textId="77777777" w:rsidR="00B67599" w:rsidRPr="00BC1DFF" w:rsidRDefault="00B67599" w:rsidP="006D75DD">
            <w:pPr>
              <w:jc w:val="both"/>
              <w:rPr>
                <w:i/>
                <w:iCs/>
              </w:rPr>
            </w:pPr>
          </w:p>
        </w:tc>
      </w:tr>
    </w:tbl>
    <w:p w14:paraId="50D78464" w14:textId="45905E5B" w:rsidR="00B67599" w:rsidRDefault="00B67599" w:rsidP="006D75DD">
      <w:pPr>
        <w:jc w:val="both"/>
      </w:pPr>
    </w:p>
    <w:p w14:paraId="4E80A239" w14:textId="615B88F4" w:rsidR="00BC1DFF" w:rsidRPr="000E2CCA" w:rsidRDefault="00BC1DFF" w:rsidP="006D75DD">
      <w:pPr>
        <w:jc w:val="both"/>
      </w:pPr>
      <w:r w:rsidRPr="0091380E">
        <w:rPr>
          <w:lang w:val="en-US"/>
        </w:rPr>
        <w:t xml:space="preserve">However, beam type (fine or rough) does not have any </w:t>
      </w:r>
      <w:r w:rsidR="00687A5B" w:rsidRPr="0091380E">
        <w:rPr>
          <w:lang w:val="en-US"/>
        </w:rPr>
        <w:t xml:space="preserve">direct </w:t>
      </w:r>
      <w:r w:rsidRPr="0091380E">
        <w:rPr>
          <w:lang w:val="en-US"/>
        </w:rPr>
        <w:t xml:space="preserve">specs impact in our understanding. </w:t>
      </w:r>
      <w:r>
        <w:t>In this contribution we propose to conclude this issue.</w:t>
      </w:r>
    </w:p>
    <w:bookmarkEnd w:id="2"/>
    <w:p w14:paraId="2AAF9378" w14:textId="2F5FF84F" w:rsidR="009C6625" w:rsidRPr="00BC1DFF" w:rsidRDefault="006913F6" w:rsidP="00BC1DFF">
      <w:pPr>
        <w:pStyle w:val="Heading1"/>
        <w:numPr>
          <w:ilvl w:val="0"/>
          <w:numId w:val="3"/>
        </w:numPr>
        <w:rPr>
          <w:lang w:val="en-US"/>
        </w:rPr>
      </w:pPr>
      <w:r w:rsidRPr="009011F0">
        <w:rPr>
          <w:lang w:val="en-US"/>
        </w:rPr>
        <w:lastRenderedPageBreak/>
        <w:t>Discussion</w:t>
      </w:r>
    </w:p>
    <w:p w14:paraId="30638D3C" w14:textId="77777777" w:rsidR="00687A5B" w:rsidRPr="0091380E" w:rsidRDefault="00687A5B" w:rsidP="00D776A6">
      <w:pPr>
        <w:jc w:val="both"/>
        <w:rPr>
          <w:bCs/>
          <w:lang w:val="en-US"/>
        </w:rPr>
      </w:pPr>
      <w:r w:rsidRPr="0091380E">
        <w:rPr>
          <w:bCs/>
          <w:lang w:val="en-US"/>
        </w:rPr>
        <w:t xml:space="preserve">Beam type corresponds to UE’s beam-forming capability, while beam correspondence corresponds to UE’s beam-steering capability. And from RAN4 specs perspective, there is no requirement for beam-forming capability but beam-steering capability (spherical coverage and beam correspondence). </w:t>
      </w:r>
    </w:p>
    <w:p w14:paraId="5FC57472" w14:textId="2435C8DA" w:rsidR="00687A5B" w:rsidRPr="0091380E" w:rsidRDefault="00687A5B" w:rsidP="00D776A6">
      <w:pPr>
        <w:jc w:val="both"/>
        <w:rPr>
          <w:bCs/>
          <w:lang w:val="en-US"/>
        </w:rPr>
      </w:pPr>
      <w:r w:rsidRPr="0091380E">
        <w:rPr>
          <w:b/>
          <w:lang w:val="en-US"/>
        </w:rPr>
        <w:t>Observation: RAN4 does not introduce any requirement for UE’s beam-forming capability.</w:t>
      </w:r>
    </w:p>
    <w:p w14:paraId="31A847EF" w14:textId="2C9E3B3E" w:rsidR="00BC1DFF" w:rsidRPr="0091380E" w:rsidRDefault="00687A5B" w:rsidP="00D776A6">
      <w:pPr>
        <w:jc w:val="both"/>
        <w:rPr>
          <w:bCs/>
          <w:lang w:val="en-US"/>
        </w:rPr>
      </w:pPr>
      <w:r w:rsidRPr="0091380E">
        <w:rPr>
          <w:bCs/>
          <w:lang w:val="en-US"/>
        </w:rPr>
        <w:t>UE is required to meet these core requirements no matter in rough or fine beams, and it is totally up to UE’s implementation. In order to save efforts, it is better to RAN4 to conclude that no more discussion on beam type selection for beam correspondence requirements for initial access</w:t>
      </w:r>
      <w:r w:rsidR="00DC1819" w:rsidRPr="0091380E">
        <w:rPr>
          <w:bCs/>
          <w:lang w:val="en-US"/>
        </w:rPr>
        <w:t xml:space="preserve"> and RRC_INACTIVE state</w:t>
      </w:r>
      <w:r w:rsidRPr="0091380E">
        <w:rPr>
          <w:bCs/>
          <w:lang w:val="en-US"/>
        </w:rPr>
        <w:t>.</w:t>
      </w:r>
    </w:p>
    <w:p w14:paraId="26DFE8BB" w14:textId="5369B564" w:rsidR="00A006E7" w:rsidRPr="0091380E" w:rsidRDefault="00687A5B" w:rsidP="00932D17">
      <w:pPr>
        <w:jc w:val="both"/>
        <w:rPr>
          <w:b/>
          <w:lang w:val="en-US"/>
        </w:rPr>
      </w:pPr>
      <w:bookmarkStart w:id="3" w:name="OLE_LINK1"/>
      <w:bookmarkStart w:id="4" w:name="OLE_LINK7"/>
      <w:r w:rsidRPr="0091380E">
        <w:rPr>
          <w:b/>
          <w:lang w:val="en-US"/>
        </w:rPr>
        <w:t>Proposal</w:t>
      </w:r>
      <w:r w:rsidR="00BF7AF9" w:rsidRPr="0091380E">
        <w:rPr>
          <w:b/>
          <w:lang w:val="en-US"/>
        </w:rPr>
        <w:t>:</w:t>
      </w:r>
      <w:r w:rsidR="006A78FE" w:rsidRPr="0091380E">
        <w:rPr>
          <w:b/>
          <w:lang w:val="en-US"/>
        </w:rPr>
        <w:t xml:space="preserve"> </w:t>
      </w:r>
      <w:bookmarkEnd w:id="3"/>
      <w:bookmarkEnd w:id="4"/>
      <w:r w:rsidRPr="0091380E">
        <w:rPr>
          <w:b/>
          <w:lang w:val="en-US"/>
        </w:rPr>
        <w:t xml:space="preserve">RAN4 </w:t>
      </w:r>
      <w:r w:rsidR="00DC1819" w:rsidRPr="0091380E">
        <w:rPr>
          <w:b/>
          <w:lang w:val="en-US"/>
        </w:rPr>
        <w:t>to conclude that no more discussion on beam type selection for beam correspondence requirements for initial access and RRC_INACTIVE state.</w:t>
      </w: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383620B1" w:rsidR="00D776A6" w:rsidRPr="0091380E" w:rsidRDefault="008D0D1E" w:rsidP="00D776A6">
      <w:pPr>
        <w:jc w:val="both"/>
        <w:rPr>
          <w:bCs/>
          <w:lang w:val="en-US"/>
        </w:rPr>
      </w:pPr>
      <w:r w:rsidRPr="0091380E">
        <w:rPr>
          <w:lang w:val="en-US" w:eastAsia="ja-JP"/>
        </w:rPr>
        <w:t xml:space="preserve">In this contribution we have </w:t>
      </w:r>
      <w:r w:rsidR="0061046D" w:rsidRPr="0091380E">
        <w:rPr>
          <w:lang w:val="en-US" w:eastAsia="ja-JP"/>
        </w:rPr>
        <w:t>the following observation and proposal for</w:t>
      </w:r>
      <w:r w:rsidR="00164DD6" w:rsidRPr="0091380E">
        <w:rPr>
          <w:lang w:val="en-US" w:eastAsia="ja-JP"/>
        </w:rPr>
        <w:t xml:space="preserve"> beam type for beam correspondence requirements for initial access and RRC_INACTIVE state:</w:t>
      </w:r>
      <w:r w:rsidR="009247EA" w:rsidRPr="0091380E">
        <w:rPr>
          <w:lang w:val="en-US" w:eastAsia="ja-JP"/>
        </w:rPr>
        <w:t xml:space="preserve"> </w:t>
      </w:r>
    </w:p>
    <w:p w14:paraId="048A096C" w14:textId="3889EC7D" w:rsidR="0050226F" w:rsidRPr="0091380E" w:rsidRDefault="00164DD6" w:rsidP="003C0851">
      <w:pPr>
        <w:jc w:val="both"/>
        <w:rPr>
          <w:b/>
          <w:lang w:val="en-US"/>
        </w:rPr>
      </w:pPr>
      <w:r w:rsidRPr="0091380E">
        <w:rPr>
          <w:b/>
          <w:lang w:val="en-US"/>
        </w:rPr>
        <w:t>Observation: RAN4 does not introduce any requirement for UE’s beam-forming capability.</w:t>
      </w:r>
    </w:p>
    <w:p w14:paraId="1E42494F" w14:textId="57199C6E" w:rsidR="00164DD6" w:rsidRPr="0091380E" w:rsidRDefault="00164DD6" w:rsidP="003C0851">
      <w:pPr>
        <w:jc w:val="both"/>
        <w:rPr>
          <w:bCs/>
          <w:lang w:val="en-US"/>
        </w:rPr>
      </w:pPr>
      <w:r w:rsidRPr="0091380E">
        <w:rPr>
          <w:b/>
          <w:lang w:val="en-US"/>
        </w:rPr>
        <w:t>Proposal: RAN4 to conclude that no more discussion on beam type selection for beam correspondence requirements for initial access and RRC_INACTIVE state.</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380B2E1E" w:rsidR="009F52DC" w:rsidRPr="0091380E" w:rsidRDefault="00C269AD" w:rsidP="00C269AD">
      <w:pPr>
        <w:pStyle w:val="ListParagraph"/>
        <w:numPr>
          <w:ilvl w:val="0"/>
          <w:numId w:val="2"/>
        </w:numPr>
        <w:rPr>
          <w:lang w:val="en-US"/>
        </w:rPr>
      </w:pPr>
      <w:bookmarkStart w:id="5" w:name="OLE_LINK12"/>
      <w:bookmarkStart w:id="6" w:name="_Ref101774927"/>
      <w:r w:rsidRPr="0091380E">
        <w:rPr>
          <w:lang w:val="en-US"/>
        </w:rPr>
        <w:t>R4-2303563</w:t>
      </w:r>
      <w:r w:rsidRPr="0091380E">
        <w:rPr>
          <w:lang w:val="en-US"/>
        </w:rPr>
        <w:tab/>
        <w:t>WF on beam correspondence requirements for initial access and RRC_inactive mode, Nokia</w:t>
      </w:r>
    </w:p>
    <w:bookmarkEnd w:id="5"/>
    <w:bookmarkEnd w:id="6"/>
    <w:p w14:paraId="579C76C0" w14:textId="77777777" w:rsidR="003664C2" w:rsidRPr="0091380E" w:rsidRDefault="003664C2" w:rsidP="003664C2">
      <w:pPr>
        <w:rPr>
          <w:rFonts w:ascii="Arial" w:hAnsi="Arial" w:cs="Times New Roman"/>
          <w:sz w:val="21"/>
          <w:szCs w:val="21"/>
          <w:lang w:val="en-US"/>
        </w:rPr>
      </w:pPr>
    </w:p>
    <w:sectPr w:rsidR="003664C2" w:rsidRPr="0091380E"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5620" w14:textId="77777777" w:rsidR="00C73F1A" w:rsidRDefault="00C73F1A">
      <w:pPr>
        <w:spacing w:after="0"/>
      </w:pPr>
      <w:r>
        <w:separator/>
      </w:r>
    </w:p>
  </w:endnote>
  <w:endnote w:type="continuationSeparator" w:id="0">
    <w:p w14:paraId="6A78D56C" w14:textId="77777777" w:rsidR="00C73F1A" w:rsidRDefault="00C7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E31E6" w14:textId="77777777" w:rsidR="00C73F1A" w:rsidRDefault="00C73F1A">
      <w:pPr>
        <w:spacing w:after="0"/>
      </w:pPr>
      <w:r>
        <w:separator/>
      </w:r>
    </w:p>
  </w:footnote>
  <w:footnote w:type="continuationSeparator" w:id="0">
    <w:p w14:paraId="3785BB67" w14:textId="77777777" w:rsidR="00C73F1A" w:rsidRDefault="00C7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8"/>
  </w:num>
  <w:num w:numId="8">
    <w:abstractNumId w:val="2"/>
  </w:num>
  <w:num w:numId="9">
    <w:abstractNumId w:val="18"/>
  </w:num>
  <w:num w:numId="10">
    <w:abstractNumId w:val="4"/>
  </w:num>
  <w:num w:numId="11">
    <w:abstractNumId w:val="18"/>
  </w:num>
  <w:num w:numId="12">
    <w:abstractNumId w:val="24"/>
  </w:num>
  <w:num w:numId="13">
    <w:abstractNumId w:val="6"/>
  </w:num>
  <w:num w:numId="14">
    <w:abstractNumId w:val="8"/>
  </w:num>
  <w:num w:numId="15">
    <w:abstractNumId w:val="23"/>
  </w:num>
  <w:num w:numId="16">
    <w:abstractNumId w:val="1"/>
  </w:num>
  <w:num w:numId="17">
    <w:abstractNumId w:val="12"/>
  </w:num>
  <w:num w:numId="18">
    <w:abstractNumId w:val="18"/>
  </w:num>
  <w:num w:numId="19">
    <w:abstractNumId w:val="9"/>
  </w:num>
  <w:num w:numId="20">
    <w:abstractNumId w:val="21"/>
  </w:num>
  <w:num w:numId="21">
    <w:abstractNumId w:val="17"/>
  </w:num>
  <w:num w:numId="22">
    <w:abstractNumId w:val="20"/>
  </w:num>
  <w:num w:numId="23">
    <w:abstractNumId w:val="18"/>
  </w:num>
  <w:num w:numId="24">
    <w:abstractNumId w:val="19"/>
  </w:num>
  <w:num w:numId="25">
    <w:abstractNumId w:val="13"/>
  </w:num>
  <w:num w:numId="26">
    <w:abstractNumId w:val="18"/>
  </w:num>
  <w:num w:numId="27">
    <w:abstractNumId w:val="19"/>
  </w:num>
  <w:num w:numId="28">
    <w:abstractNumId w:val="16"/>
  </w:num>
  <w:num w:numId="29">
    <w:abstractNumId w:val="15"/>
  </w:num>
  <w:num w:numId="30">
    <w:abstractNumId w:val="3"/>
  </w:num>
  <w:num w:numId="31">
    <w:abstractNumId w:val="22"/>
  </w:num>
  <w:num w:numId="32">
    <w:abstractNumId w:val="7"/>
  </w:num>
  <w:num w:numId="3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DD6"/>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3FC"/>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595"/>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5B"/>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80E"/>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99"/>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1DFF"/>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9AD"/>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3F1A"/>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8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2EF"/>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80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13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80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2023-04-05T07:33:00Z</dcterms:created>
  <dcterms:modified xsi:type="dcterms:W3CDTF">2023-04-10T17:54:00Z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